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4B" w:rsidRPr="0036424B" w:rsidRDefault="0036424B" w:rsidP="0036424B">
      <w:pPr>
        <w:spacing w:after="0" w:line="22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2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Шаблон заявки</w:t>
      </w:r>
    </w:p>
    <w:p w:rsidR="001874E2" w:rsidRPr="00EE0CA6" w:rsidRDefault="001874E2" w:rsidP="00EE0CA6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874E2" w:rsidRPr="001874E2" w:rsidRDefault="001874E2" w:rsidP="00EE0CA6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4E2" w:rsidRPr="00EE0CA6" w:rsidRDefault="001874E2" w:rsidP="00EE0CA6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УЧАСТЬ В РОБОТІ </w:t>
      </w:r>
      <w:r w:rsidR="00B63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ДВАДЦЯТОЇ</w:t>
      </w:r>
      <w:bookmarkStart w:id="0" w:name="_GoBack"/>
      <w:bookmarkEnd w:id="0"/>
      <w:r w:rsidRPr="00EE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МІЖНАРОДНОЇ НАУКОВОЇ КОНФЕРЕНЦІЇ “НОВІТНІ ТЕХНОЛОГІЇ – ДЛЯ ЗАХИСТУ ПОВІТРЯНОГО ПРОСТОРУ”</w:t>
      </w:r>
    </w:p>
    <w:p w:rsidR="001874E2" w:rsidRPr="001874E2" w:rsidRDefault="001874E2" w:rsidP="00EE0CA6">
      <w:pPr>
        <w:spacing w:after="0" w:line="22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7"/>
        <w:gridCol w:w="3546"/>
      </w:tblGrid>
      <w:tr w:rsidR="001874E2" w:rsidRPr="001874E2" w:rsidTr="002D5E49">
        <w:trPr>
          <w:trHeight w:val="469"/>
        </w:trPr>
        <w:tc>
          <w:tcPr>
            <w:tcW w:w="2567" w:type="dxa"/>
            <w:vAlign w:val="center"/>
          </w:tcPr>
          <w:p w:rsidR="001874E2" w:rsidRPr="001874E2" w:rsidRDefault="001874E2" w:rsidP="00EE0CA6">
            <w:pPr>
              <w:spacing w:line="22" w:lineRule="atLeast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Прізвище</w:t>
            </w:r>
          </w:p>
        </w:tc>
        <w:tc>
          <w:tcPr>
            <w:tcW w:w="3546" w:type="dxa"/>
            <w:vAlign w:val="center"/>
          </w:tcPr>
          <w:p w:rsidR="001874E2" w:rsidRPr="001874E2" w:rsidRDefault="001874E2" w:rsidP="00EE0CA6">
            <w:pPr>
              <w:spacing w:line="22" w:lineRule="atLeast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Ім’я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По батькові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Організація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Посада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Науковий ступінь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Вчене звання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Поштовий індекс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Місто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Вулиця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Будинок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1874E2">
              <w:rPr>
                <w:i/>
                <w:sz w:val="22"/>
                <w:szCs w:val="22"/>
                <w:lang w:eastAsia="ru-RU"/>
              </w:rPr>
              <w:t>Тел</w:t>
            </w:r>
            <w:proofErr w:type="spellEnd"/>
            <w:r w:rsidRPr="001874E2">
              <w:rPr>
                <w:i/>
                <w:sz w:val="22"/>
                <w:szCs w:val="22"/>
                <w:lang w:eastAsia="ru-RU"/>
              </w:rPr>
              <w:t>./ факс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1874E2">
              <w:rPr>
                <w:i/>
                <w:sz w:val="22"/>
                <w:szCs w:val="22"/>
                <w:lang w:val="en-US" w:eastAsia="ru-RU"/>
              </w:rPr>
              <w:t>E-mail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Назва доповіді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Бажаєте виступити</w:t>
            </w:r>
          </w:p>
        </w:tc>
        <w:tc>
          <w:tcPr>
            <w:tcW w:w="3546" w:type="dxa"/>
          </w:tcPr>
          <w:p w:rsidR="001874E2" w:rsidRPr="001874E2" w:rsidRDefault="00EE0CA6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EE0CA6">
              <w:rPr>
                <w:i/>
                <w:sz w:val="22"/>
                <w:szCs w:val="22"/>
                <w:lang w:eastAsia="ru-RU"/>
              </w:rPr>
              <w:t>так</w:t>
            </w: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3546" w:type="dxa"/>
          </w:tcPr>
          <w:p w:rsidR="001874E2" w:rsidRPr="001874E2" w:rsidRDefault="00EE0CA6" w:rsidP="00EE0CA6">
            <w:pPr>
              <w:spacing w:line="22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EE0CA6">
              <w:rPr>
                <w:i/>
                <w:sz w:val="22"/>
                <w:szCs w:val="22"/>
                <w:lang w:eastAsia="ru-RU"/>
              </w:rPr>
              <w:t>ні</w:t>
            </w:r>
          </w:p>
        </w:tc>
      </w:tr>
      <w:tr w:rsidR="001874E2" w:rsidRPr="001874E2" w:rsidTr="002D5E49">
        <w:tc>
          <w:tcPr>
            <w:tcW w:w="2567" w:type="dxa"/>
          </w:tcPr>
          <w:p w:rsidR="001874E2" w:rsidRPr="001874E2" w:rsidRDefault="001874E2" w:rsidP="00EE0CA6">
            <w:pPr>
              <w:spacing w:line="22" w:lineRule="atLeast"/>
              <w:rPr>
                <w:i/>
                <w:sz w:val="22"/>
                <w:szCs w:val="22"/>
                <w:lang w:eastAsia="ru-RU"/>
              </w:rPr>
            </w:pPr>
            <w:r w:rsidRPr="001874E2">
              <w:rPr>
                <w:i/>
                <w:sz w:val="22"/>
                <w:szCs w:val="22"/>
                <w:lang w:eastAsia="ru-RU"/>
              </w:rPr>
              <w:t>На секційному засіданні, пропонована секція</w:t>
            </w:r>
          </w:p>
        </w:tc>
        <w:tc>
          <w:tcPr>
            <w:tcW w:w="3546" w:type="dxa"/>
          </w:tcPr>
          <w:p w:rsidR="001874E2" w:rsidRPr="001874E2" w:rsidRDefault="001874E2" w:rsidP="00EE0CA6">
            <w:pPr>
              <w:spacing w:line="22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1874E2" w:rsidRDefault="001874E2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CA6" w:rsidRDefault="00EE0CA6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E49" w:rsidRDefault="002D5E49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E49" w:rsidRDefault="002D5E49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E49" w:rsidRDefault="002D5E49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4E2" w:rsidRPr="00EE0CA6" w:rsidRDefault="001874E2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0CA6">
        <w:rPr>
          <w:rFonts w:ascii="Times New Roman" w:eastAsia="Times New Roman" w:hAnsi="Times New Roman" w:cs="Times New Roman"/>
          <w:i/>
          <w:lang w:eastAsia="ru-RU"/>
        </w:rPr>
        <w:t>Приклад оформлення тез</w:t>
      </w:r>
    </w:p>
    <w:p w:rsidR="001874E2" w:rsidRPr="00EE0CA6" w:rsidRDefault="001874E2" w:rsidP="00EE0CA6">
      <w:pPr>
        <w:spacing w:after="0" w:line="22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887" w:rsidRPr="00554887" w:rsidRDefault="00554887" w:rsidP="00554887">
      <w:pPr>
        <w:shd w:val="clear" w:color="auto" w:fill="FFFFFF"/>
        <w:spacing w:after="0" w:line="264" w:lineRule="auto"/>
        <w:jc w:val="center"/>
        <w:outlineLvl w:val="1"/>
        <w:rPr>
          <w:rFonts w:ascii="Times New Roman" w:hAnsi="Times New Roman" w:cs="Times New Roman"/>
          <w:b/>
          <w:bCs/>
          <w:lang w:bidi="pa-IN"/>
        </w:rPr>
      </w:pPr>
      <w:r w:rsidRPr="00554887">
        <w:rPr>
          <w:rFonts w:ascii="Times New Roman" w:hAnsi="Times New Roman" w:cs="Times New Roman"/>
          <w:b/>
          <w:bCs/>
          <w:lang w:bidi="pa-IN"/>
        </w:rPr>
        <w:t>ДОСЛІДЖЕННЯ МЕТРОЛОГІЧНИХ ХАРАКТЕРИСТИК ТЕРМОПЕРЕТВОРЮВАЧІВ НАПРУГИ ТА СТРУМУ</w:t>
      </w:r>
    </w:p>
    <w:p w:rsidR="00554887" w:rsidRP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lang w:eastAsia="uk-UA"/>
        </w:rPr>
      </w:pPr>
    </w:p>
    <w:p w:rsidR="00554887" w:rsidRPr="00554887" w:rsidRDefault="00554887" w:rsidP="00554887">
      <w:pPr>
        <w:keepNext/>
        <w:tabs>
          <w:tab w:val="left" w:pos="4362"/>
        </w:tabs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i/>
          <w:caps/>
          <w:lang w:eastAsia="ru-RU"/>
        </w:rPr>
      </w:pPr>
      <w:r w:rsidRPr="00554887">
        <w:rPr>
          <w:rFonts w:ascii="Times New Roman" w:eastAsia="Times New Roman" w:hAnsi="Times New Roman" w:cs="Times New Roman"/>
          <w:i/>
          <w:lang w:eastAsia="ru-RU"/>
        </w:rPr>
        <w:t xml:space="preserve">С.О. </w:t>
      </w:r>
      <w:proofErr w:type="spellStart"/>
      <w:r w:rsidRPr="00554887">
        <w:rPr>
          <w:rFonts w:ascii="Times New Roman" w:eastAsia="Times New Roman" w:hAnsi="Times New Roman" w:cs="Times New Roman"/>
          <w:i/>
          <w:lang w:eastAsia="ru-RU"/>
        </w:rPr>
        <w:t>Щербінін</w:t>
      </w:r>
      <w:proofErr w:type="spellEnd"/>
      <w:r w:rsidRPr="00554887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554887">
        <w:rPr>
          <w:rFonts w:ascii="Times New Roman" w:eastAsia="Times New Roman" w:hAnsi="Times New Roman" w:cs="Times New Roman"/>
          <w:i/>
          <w:lang w:eastAsia="ru-RU"/>
        </w:rPr>
        <w:t>к.т.н</w:t>
      </w:r>
      <w:proofErr w:type="spellEnd"/>
      <w:r w:rsidRPr="00554887">
        <w:rPr>
          <w:rFonts w:ascii="Times New Roman" w:eastAsia="Times New Roman" w:hAnsi="Times New Roman" w:cs="Times New Roman"/>
          <w:i/>
          <w:lang w:eastAsia="ru-RU"/>
        </w:rPr>
        <w:t>.; В</w:t>
      </w:r>
      <w:r w:rsidRPr="00554887">
        <w:rPr>
          <w:rFonts w:ascii="Times New Roman" w:eastAsia="Times New Roman" w:hAnsi="Times New Roman" w:cs="Times New Roman"/>
          <w:i/>
          <w:color w:val="000000"/>
          <w:lang w:eastAsia="ru-RU"/>
        </w:rPr>
        <w:t>.В. Крикун</w:t>
      </w:r>
    </w:p>
    <w:p w:rsidR="00554887" w:rsidRDefault="00554887" w:rsidP="00554887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i/>
          <w:color w:val="000000"/>
          <w:lang w:eastAsia="uk-UA"/>
        </w:rPr>
        <w:t>Харківський націонал</w:t>
      </w:r>
      <w:r>
        <w:rPr>
          <w:rFonts w:ascii="Times New Roman" w:eastAsia="Times New Roman" w:hAnsi="Times New Roman" w:cs="Times New Roman"/>
          <w:i/>
          <w:color w:val="000000"/>
          <w:lang w:eastAsia="uk-UA"/>
        </w:rPr>
        <w:t>ьний університет Повітряних Сил</w:t>
      </w:r>
    </w:p>
    <w:p w:rsidR="00554887" w:rsidRPr="00554887" w:rsidRDefault="00554887" w:rsidP="00554887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i/>
          <w:color w:val="000000"/>
          <w:lang w:eastAsia="uk-UA"/>
        </w:rPr>
        <w:t>ім. І. Кожедуба</w:t>
      </w:r>
    </w:p>
    <w:p w:rsidR="00554887" w:rsidRP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554887" w:rsidRP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Перетворювачі напруги та струму відрізняються діапазоном середньоквадратичних </w:t>
      </w:r>
      <w:proofErr w:type="spellStart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напруг</w:t>
      </w:r>
      <w:proofErr w:type="spellEnd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 та коефіцієнтом перетворення та межею основної та частотної похибки перетворення. Модулі мають нормовані значення вхідних опорів та нормовані значення коефіцієнтів перетворення.</w:t>
      </w:r>
    </w:p>
    <w:p w:rsid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Перетворювач напруги В9-26 містить детекторний пристрій, що виконує функцію високоточного лінійного перетворення амплітудних значень гармонійної напруги в постійну напругу в діапазонах частот і напруги від 10 </w:t>
      </w:r>
      <w:proofErr w:type="spellStart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кГц</w:t>
      </w:r>
      <w:proofErr w:type="spellEnd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 до 1000 МГц і від 50 </w:t>
      </w:r>
      <w:proofErr w:type="spellStart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мВ</w:t>
      </w:r>
      <w:proofErr w:type="spellEnd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 до 10 В відповідно. </w:t>
      </w:r>
    </w:p>
    <w:p w:rsid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Перетворювач В9-27, єдиний модуль термоелектричного перетворення об’єднаний в один конструктивний вузол з широкосмуговим вимірювальним підсилювачем, який має високий вхідний імпеданс, а коефіцієнт перетворення нормований для кожної межі вимірювання. </w:t>
      </w:r>
    </w:p>
    <w:p w:rsidR="00554887" w:rsidRP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Модулі забезпечують вимірювання змінної напруги в діапазоні від 0,2 В до 1000 В, при цьому верхня межа частотного діапазону збільшена з 30 МГц до 200 МГц, а нижня межа понижена від 20 </w:t>
      </w:r>
      <w:proofErr w:type="spellStart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Гц</w:t>
      </w:r>
      <w:proofErr w:type="spellEnd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 до 10 </w:t>
      </w:r>
      <w:proofErr w:type="spellStart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Гц</w:t>
      </w:r>
      <w:proofErr w:type="spellEnd"/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>. Основна похибка складає ±0,01%.</w:t>
      </w:r>
    </w:p>
    <w:p w:rsidR="00554887" w:rsidRPr="00554887" w:rsidRDefault="00554887" w:rsidP="0055488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uk-UA"/>
        </w:rPr>
      </w:pPr>
      <w:r w:rsidRPr="00554887">
        <w:rPr>
          <w:rFonts w:ascii="Times New Roman" w:eastAsia="Times New Roman" w:hAnsi="Times New Roman" w:cs="Times New Roman"/>
          <w:color w:val="000000"/>
          <w:lang w:eastAsia="uk-UA"/>
        </w:rPr>
        <w:t xml:space="preserve">Останніми роками розроблялися методи і створювалася апаратура для точного вимірювання струму, напруги і потужності в звуковому діапазоні частот. В основі розробленої апаратури лежить термоелектричний метод компарування, в якому вимірювання величин змінного струму зводиться до вимірювань величин постійного струму, еквівалентного йому по тепловій дії. </w:t>
      </w:r>
    </w:p>
    <w:p w:rsidR="001874E2" w:rsidRPr="001874E2" w:rsidRDefault="001874E2" w:rsidP="00554887">
      <w:pPr>
        <w:spacing w:after="0" w:line="22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874E2" w:rsidRPr="001874E2" w:rsidSect="00EE0CA6">
      <w:pgSz w:w="8391" w:h="11907" w:code="11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99"/>
    <w:rsid w:val="000B0264"/>
    <w:rsid w:val="000F2B26"/>
    <w:rsid w:val="00124699"/>
    <w:rsid w:val="001874E2"/>
    <w:rsid w:val="00226582"/>
    <w:rsid w:val="002D5E49"/>
    <w:rsid w:val="0036424B"/>
    <w:rsid w:val="00554887"/>
    <w:rsid w:val="00B63DD8"/>
    <w:rsid w:val="00C91924"/>
    <w:rsid w:val="00CC3B81"/>
    <w:rsid w:val="00CE3435"/>
    <w:rsid w:val="00EE0CA6"/>
    <w:rsid w:val="00F07034"/>
    <w:rsid w:val="00F512B7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BE56-50A6-469C-930B-A5B9B2B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2023-02-08T09:15:00Z</dcterms:created>
  <dcterms:modified xsi:type="dcterms:W3CDTF">2024-01-22T12:55:00Z</dcterms:modified>
</cp:coreProperties>
</file>